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AE49C" w14:textId="7C49873D" w:rsidR="002B298B" w:rsidRPr="002B298B" w:rsidRDefault="002B298B" w:rsidP="003C56D9">
      <w:pPr>
        <w:tabs>
          <w:tab w:val="center" w:pos="4536"/>
          <w:tab w:val="right" w:pos="9629"/>
        </w:tabs>
        <w:spacing w:after="0"/>
        <w:ind w:right="2"/>
        <w:rPr>
          <w:rFonts w:ascii="Arial" w:eastAsia="Batang" w:hAnsi="Arial" w:cs="Arial"/>
          <w:b/>
          <w:bCs/>
          <w:sz w:val="28"/>
          <w:szCs w:val="24"/>
        </w:rPr>
      </w:pPr>
      <w:r w:rsidRPr="002B298B">
        <w:rPr>
          <w:rFonts w:ascii="Arial" w:eastAsia="Batang" w:hAnsi="Arial" w:cs="Arial"/>
          <w:b/>
          <w:bCs/>
          <w:sz w:val="28"/>
          <w:szCs w:val="24"/>
        </w:rPr>
        <w:t>3GPP TSG RAN WG1 #98bis</w:t>
      </w:r>
      <w:r w:rsidRPr="002B298B">
        <w:rPr>
          <w:rFonts w:ascii="Arial" w:eastAsia="Batang" w:hAnsi="Arial" w:cs="Arial"/>
          <w:b/>
          <w:bCs/>
          <w:sz w:val="28"/>
          <w:szCs w:val="24"/>
        </w:rPr>
        <w:tab/>
      </w:r>
      <w:r w:rsidRPr="002B298B">
        <w:rPr>
          <w:rFonts w:ascii="Arial" w:eastAsia="Batang" w:hAnsi="Arial" w:cs="Arial"/>
          <w:b/>
          <w:bCs/>
          <w:sz w:val="28"/>
          <w:szCs w:val="24"/>
        </w:rPr>
        <w:tab/>
      </w:r>
      <w:bookmarkStart w:id="0" w:name="_GoBack"/>
      <w:bookmarkEnd w:id="0"/>
      <w:r w:rsidR="00A9402A" w:rsidRPr="00A9402A">
        <w:rPr>
          <w:rFonts w:ascii="Arial" w:hAnsi="Arial" w:cs="Arial"/>
          <w:b/>
          <w:bCs/>
          <w:sz w:val="28"/>
          <w:szCs w:val="24"/>
          <w:lang w:eastAsia="ja-JP"/>
        </w:rPr>
        <w:t>R1-1911109</w:t>
      </w:r>
    </w:p>
    <w:p w14:paraId="7660F448" w14:textId="77777777" w:rsidR="002B298B" w:rsidRPr="002B298B" w:rsidRDefault="002B298B" w:rsidP="002B298B">
      <w:pPr>
        <w:tabs>
          <w:tab w:val="center" w:pos="4536"/>
          <w:tab w:val="right" w:pos="9072"/>
        </w:tabs>
        <w:spacing w:after="0"/>
        <w:rPr>
          <w:rFonts w:ascii="Arial" w:hAnsi="Arial" w:cs="Arial"/>
          <w:b/>
          <w:bCs/>
          <w:sz w:val="28"/>
          <w:szCs w:val="24"/>
          <w:lang w:eastAsia="ja-JP"/>
        </w:rPr>
      </w:pPr>
      <w:r w:rsidRPr="002B298B">
        <w:rPr>
          <w:rFonts w:ascii="Arial" w:hAnsi="Arial" w:cs="Arial"/>
          <w:b/>
          <w:bCs/>
          <w:sz w:val="28"/>
          <w:szCs w:val="24"/>
          <w:lang w:eastAsia="ja-JP"/>
        </w:rPr>
        <w:t>Chongqing, China, October 14</w:t>
      </w:r>
      <w:r w:rsidRPr="002B298B">
        <w:rPr>
          <w:rFonts w:ascii="Arial" w:hAnsi="Arial" w:cs="Arial"/>
          <w:b/>
          <w:bCs/>
          <w:sz w:val="28"/>
          <w:szCs w:val="24"/>
          <w:vertAlign w:val="superscript"/>
          <w:lang w:eastAsia="ja-JP"/>
        </w:rPr>
        <w:t>th</w:t>
      </w:r>
      <w:r w:rsidRPr="002B298B">
        <w:rPr>
          <w:rFonts w:ascii="Arial" w:hAnsi="Arial" w:cs="Arial"/>
          <w:b/>
          <w:bCs/>
          <w:sz w:val="28"/>
          <w:szCs w:val="24"/>
          <w:lang w:eastAsia="ja-JP"/>
        </w:rPr>
        <w:t xml:space="preserve"> – 20</w:t>
      </w:r>
      <w:r w:rsidRPr="002B298B">
        <w:rPr>
          <w:rFonts w:ascii="Arial" w:hAnsi="Arial" w:cs="Arial"/>
          <w:b/>
          <w:bCs/>
          <w:sz w:val="28"/>
          <w:szCs w:val="24"/>
          <w:vertAlign w:val="superscript"/>
          <w:lang w:eastAsia="ja-JP"/>
        </w:rPr>
        <w:t>th</w:t>
      </w:r>
      <w:r w:rsidRPr="002B298B">
        <w:rPr>
          <w:rFonts w:ascii="Arial" w:hAnsi="Arial" w:cs="Arial"/>
          <w:b/>
          <w:bCs/>
          <w:sz w:val="28"/>
          <w:szCs w:val="24"/>
          <w:lang w:eastAsia="ja-JP"/>
        </w:rPr>
        <w:t>, 2019</w:t>
      </w:r>
    </w:p>
    <w:p w14:paraId="455A8E3D" w14:textId="77777777" w:rsidR="00161DB7" w:rsidRDefault="00161DB7" w:rsidP="00161DB7">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3E0F9952" w14:textId="67F7844F" w:rsidR="00161DB7" w:rsidRDefault="00161DB7" w:rsidP="00161DB7">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r>
      <w:r w:rsidR="00F859CB">
        <w:rPr>
          <w:rFonts w:ascii="Arial" w:hAnsi="Arial"/>
          <w:color w:val="000000"/>
          <w:sz w:val="24"/>
        </w:rPr>
        <w:t>7.2.4.4</w:t>
      </w:r>
    </w:p>
    <w:p w14:paraId="7779AC7D" w14:textId="77777777" w:rsidR="00161DB7" w:rsidRDefault="00161DB7" w:rsidP="00161DB7">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1DB1F1D" w14:textId="77777777" w:rsidR="00161DB7" w:rsidRPr="00ED7BF7" w:rsidRDefault="00161DB7" w:rsidP="00161DB7">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0D3B2C">
        <w:rPr>
          <w:rFonts w:ascii="Arial" w:hAnsi="Arial"/>
          <w:sz w:val="24"/>
        </w:rPr>
        <w:t>Co-existence aspects for NR-V2X and LTE-V2X</w:t>
      </w:r>
    </w:p>
    <w:p w14:paraId="1E455E00" w14:textId="77777777" w:rsidR="00161DB7" w:rsidRPr="00D55307" w:rsidRDefault="00161DB7" w:rsidP="00161DB7">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6633DDE5" w14:textId="77777777" w:rsidR="00161DB7" w:rsidRDefault="00161DB7" w:rsidP="00161DB7">
      <w:pPr>
        <w:pStyle w:val="Heading1"/>
        <w:jc w:val="both"/>
        <w:rPr>
          <w:lang w:val="en-US"/>
        </w:rPr>
      </w:pPr>
      <w:r>
        <w:rPr>
          <w:lang w:val="en-US"/>
        </w:rPr>
        <w:t>Introduction</w:t>
      </w:r>
    </w:p>
    <w:p w14:paraId="6ED4875C" w14:textId="6C4BB068" w:rsidR="00161DB7" w:rsidRPr="000D3B2C" w:rsidRDefault="00161DB7" w:rsidP="00161DB7">
      <w:pPr>
        <w:spacing w:after="120"/>
        <w:rPr>
          <w:rFonts w:eastAsia="SimSun"/>
          <w:lang w:eastAsia="zh-CN"/>
        </w:rPr>
      </w:pPr>
      <w:r w:rsidRPr="000D3B2C">
        <w:rPr>
          <w:rFonts w:eastAsia="SimSun"/>
          <w:lang w:eastAsia="zh-CN"/>
        </w:rPr>
        <w:t xml:space="preserve">In the RAN1 </w:t>
      </w:r>
      <w:r w:rsidR="00875F25">
        <w:rPr>
          <w:rFonts w:eastAsia="SimSun"/>
          <w:lang w:eastAsia="zh-CN"/>
        </w:rPr>
        <w:t>#97</w:t>
      </w:r>
      <w:r w:rsidRPr="000D3B2C">
        <w:rPr>
          <w:rFonts w:eastAsia="SimSun"/>
          <w:lang w:eastAsia="zh-CN"/>
        </w:rPr>
        <w:t xml:space="preserve"> following agreements have been made regarding NR V2X/LTE V2X in device coexistence</w:t>
      </w:r>
      <w:r w:rsidR="00875F25">
        <w:rPr>
          <w:rFonts w:eastAsia="SimSun"/>
          <w:lang w:eastAsia="zh-CN"/>
        </w:rPr>
        <w:t xml:space="preserve"> [2]</w:t>
      </w:r>
      <w:r w:rsidRPr="000D3B2C">
        <w:rPr>
          <w:rFonts w:eastAsia="SimSun"/>
          <w:lang w:eastAsia="zh-CN"/>
        </w:rPr>
        <w:t>:</w:t>
      </w:r>
    </w:p>
    <w:tbl>
      <w:tblPr>
        <w:tblStyle w:val="TableGrid"/>
        <w:tblW w:w="0" w:type="auto"/>
        <w:tblLook w:val="04A0" w:firstRow="1" w:lastRow="0" w:firstColumn="1" w:lastColumn="0" w:noHBand="0" w:noVBand="1"/>
      </w:tblPr>
      <w:tblGrid>
        <w:gridCol w:w="9621"/>
      </w:tblGrid>
      <w:tr w:rsidR="00875F25" w14:paraId="0C5ABB0B" w14:textId="77777777" w:rsidTr="00875F25">
        <w:tc>
          <w:tcPr>
            <w:tcW w:w="9621" w:type="dxa"/>
          </w:tcPr>
          <w:p w14:paraId="0FC64AA6" w14:textId="77777777" w:rsidR="00875F25" w:rsidRPr="00875F25" w:rsidRDefault="00875F25" w:rsidP="00875F25">
            <w:pPr>
              <w:rPr>
                <w:sz w:val="18"/>
                <w:szCs w:val="18"/>
              </w:rPr>
            </w:pPr>
            <w:r w:rsidRPr="00875F25">
              <w:rPr>
                <w:sz w:val="18"/>
                <w:szCs w:val="18"/>
                <w:highlight w:val="green"/>
              </w:rPr>
              <w:t>Agreements</w:t>
            </w:r>
            <w:r w:rsidRPr="00875F25">
              <w:rPr>
                <w:sz w:val="18"/>
                <w:szCs w:val="18"/>
              </w:rPr>
              <w:t>:</w:t>
            </w:r>
          </w:p>
          <w:p w14:paraId="452A77E1" w14:textId="77777777" w:rsidR="00875F25" w:rsidRPr="00875F25" w:rsidRDefault="00875F25" w:rsidP="00875F25">
            <w:pPr>
              <w:pStyle w:val="ListParagraph"/>
              <w:numPr>
                <w:ilvl w:val="0"/>
                <w:numId w:val="10"/>
              </w:numPr>
              <w:spacing w:after="180"/>
              <w:rPr>
                <w:sz w:val="22"/>
                <w:szCs w:val="18"/>
              </w:rPr>
            </w:pPr>
            <w:r w:rsidRPr="00875F25">
              <w:rPr>
                <w:sz w:val="22"/>
                <w:szCs w:val="18"/>
                <w:lang w:eastAsia="zh-CN"/>
              </w:rPr>
              <w:t>For Tx/Tx overlap,</w:t>
            </w:r>
          </w:p>
          <w:p w14:paraId="0945C7B6" w14:textId="77777777" w:rsidR="00875F25" w:rsidRPr="00875F25" w:rsidRDefault="00875F25" w:rsidP="00875F25">
            <w:pPr>
              <w:pStyle w:val="ListParagraph"/>
              <w:numPr>
                <w:ilvl w:val="1"/>
                <w:numId w:val="10"/>
              </w:numPr>
              <w:spacing w:after="180"/>
              <w:rPr>
                <w:sz w:val="22"/>
                <w:szCs w:val="18"/>
              </w:rPr>
            </w:pPr>
            <w:r w:rsidRPr="00875F25">
              <w:rPr>
                <w:sz w:val="22"/>
                <w:szCs w:val="18"/>
                <w:lang w:eastAsia="zh-CN"/>
              </w:rPr>
              <w:t>Confirm the working assumption made in RAN1#96bis</w:t>
            </w:r>
          </w:p>
          <w:p w14:paraId="550B43D8" w14:textId="77777777" w:rsidR="00875F25" w:rsidRPr="00875F25" w:rsidRDefault="00875F25" w:rsidP="00875F25">
            <w:pPr>
              <w:pStyle w:val="ListParagraph"/>
              <w:numPr>
                <w:ilvl w:val="1"/>
                <w:numId w:val="10"/>
              </w:numPr>
              <w:spacing w:after="180"/>
              <w:rPr>
                <w:sz w:val="22"/>
                <w:szCs w:val="18"/>
              </w:rPr>
            </w:pPr>
            <w:r w:rsidRPr="00875F25">
              <w:rPr>
                <w:sz w:val="22"/>
                <w:szCs w:val="18"/>
              </w:rPr>
              <w:t>UE capability is defined for short-term time-scale TDM for in-device coexistence</w:t>
            </w:r>
          </w:p>
          <w:p w14:paraId="2C368E2F" w14:textId="77777777" w:rsidR="00875F25" w:rsidRPr="00875F25" w:rsidRDefault="00875F25" w:rsidP="00875F25">
            <w:pPr>
              <w:rPr>
                <w:sz w:val="18"/>
                <w:szCs w:val="18"/>
              </w:rPr>
            </w:pPr>
            <w:r w:rsidRPr="00875F25">
              <w:rPr>
                <w:sz w:val="18"/>
                <w:szCs w:val="18"/>
                <w:highlight w:val="green"/>
              </w:rPr>
              <w:t>Agreements</w:t>
            </w:r>
            <w:r w:rsidRPr="00875F25">
              <w:rPr>
                <w:sz w:val="18"/>
                <w:szCs w:val="18"/>
              </w:rPr>
              <w:t>:</w:t>
            </w:r>
          </w:p>
          <w:p w14:paraId="43F97D50" w14:textId="77777777" w:rsidR="00875F25" w:rsidRPr="00875F25" w:rsidRDefault="00875F25" w:rsidP="00875F25">
            <w:pPr>
              <w:pStyle w:val="ListParagraph"/>
              <w:numPr>
                <w:ilvl w:val="0"/>
                <w:numId w:val="10"/>
              </w:numPr>
              <w:spacing w:after="180"/>
              <w:rPr>
                <w:sz w:val="22"/>
                <w:szCs w:val="18"/>
              </w:rPr>
            </w:pPr>
            <w:r w:rsidRPr="00875F25">
              <w:rPr>
                <w:sz w:val="22"/>
                <w:szCs w:val="18"/>
              </w:rPr>
              <w:t xml:space="preserve">For Rx/Rx overlap, </w:t>
            </w:r>
          </w:p>
          <w:p w14:paraId="16606DA3" w14:textId="52D9118A" w:rsidR="00875F25" w:rsidRDefault="00875F25" w:rsidP="00875F25">
            <w:pPr>
              <w:pStyle w:val="ListParagraph"/>
              <w:numPr>
                <w:ilvl w:val="1"/>
                <w:numId w:val="10"/>
              </w:numPr>
              <w:spacing w:after="180"/>
            </w:pPr>
            <w:r w:rsidRPr="00875F25">
              <w:rPr>
                <w:sz w:val="22"/>
                <w:szCs w:val="18"/>
              </w:rPr>
              <w:t>Up to UE implementation to manage receptions of LTE and NR sidelinks.</w:t>
            </w:r>
          </w:p>
        </w:tc>
      </w:tr>
    </w:tbl>
    <w:p w14:paraId="08A04A3F" w14:textId="3EC742A7" w:rsidR="00161DB7" w:rsidRDefault="00FF5AB3" w:rsidP="00F53ABF">
      <w:r>
        <w:t>In RAN1 #98 following agreements are made:</w:t>
      </w:r>
    </w:p>
    <w:tbl>
      <w:tblPr>
        <w:tblStyle w:val="TableGrid"/>
        <w:tblW w:w="0" w:type="auto"/>
        <w:tblLook w:val="04A0" w:firstRow="1" w:lastRow="0" w:firstColumn="1" w:lastColumn="0" w:noHBand="0" w:noVBand="1"/>
      </w:tblPr>
      <w:tblGrid>
        <w:gridCol w:w="9621"/>
      </w:tblGrid>
      <w:tr w:rsidR="00FF5AB3" w14:paraId="4CFCC84A" w14:textId="77777777" w:rsidTr="00FF5AB3">
        <w:tc>
          <w:tcPr>
            <w:tcW w:w="9621" w:type="dxa"/>
          </w:tcPr>
          <w:p w14:paraId="4231F593" w14:textId="77777777" w:rsidR="00FF5AB3" w:rsidRPr="005C4CEB" w:rsidRDefault="00FF5AB3" w:rsidP="00FF5AB3">
            <w:pPr>
              <w:rPr>
                <w:b/>
                <w:bCs/>
                <w:lang w:eastAsia="x-none"/>
              </w:rPr>
            </w:pPr>
            <w:r w:rsidRPr="005C4CEB">
              <w:rPr>
                <w:highlight w:val="green"/>
                <w:lang w:eastAsia="x-none"/>
              </w:rPr>
              <w:t>Agreements</w:t>
            </w:r>
            <w:r w:rsidRPr="005C4CEB">
              <w:rPr>
                <w:b/>
                <w:bCs/>
                <w:lang w:eastAsia="x-none"/>
              </w:rPr>
              <w:t>:</w:t>
            </w:r>
          </w:p>
          <w:p w14:paraId="65FBDEA7" w14:textId="01CBE828" w:rsidR="00FF5AB3" w:rsidRPr="005C4CEB" w:rsidRDefault="00FF5AB3" w:rsidP="00FF5AB3">
            <w:r w:rsidRPr="005C4CEB">
              <w:rPr>
                <w:lang w:eastAsia="zh-CN"/>
              </w:rPr>
              <w:t xml:space="preserve">Unless packet priorities of both LTE and NR sidelink are known to both RATs prior to time of collision (subject to </w:t>
            </w:r>
            <w:r w:rsidRPr="005C4CEB">
              <w:t>processing time restriction), then</w:t>
            </w:r>
          </w:p>
          <w:p w14:paraId="0A99A801" w14:textId="77777777" w:rsidR="00FF5AB3" w:rsidRPr="00FF5AB3" w:rsidRDefault="00FF5AB3" w:rsidP="00FF5AB3">
            <w:pPr>
              <w:pStyle w:val="ListParagraph"/>
              <w:numPr>
                <w:ilvl w:val="0"/>
                <w:numId w:val="12"/>
              </w:numPr>
              <w:spacing w:after="180"/>
              <w:rPr>
                <w:rFonts w:eastAsia="MS Mincho"/>
                <w:sz w:val="20"/>
                <w:szCs w:val="20"/>
                <w:lang w:val="en-GB"/>
              </w:rPr>
            </w:pPr>
            <w:r w:rsidRPr="00FF5AB3">
              <w:rPr>
                <w:rFonts w:eastAsia="MS Mincho"/>
                <w:sz w:val="20"/>
                <w:szCs w:val="20"/>
                <w:lang w:val="en-GB"/>
              </w:rPr>
              <w:t>It is up to UE implementation to handle LTE Tx/NR Rx overlap.</w:t>
            </w:r>
          </w:p>
          <w:p w14:paraId="43CEE117" w14:textId="77777777" w:rsidR="00FF5AB3" w:rsidRPr="00FF5AB3" w:rsidRDefault="00FF5AB3" w:rsidP="00FF5AB3">
            <w:pPr>
              <w:pStyle w:val="ListParagraph"/>
              <w:numPr>
                <w:ilvl w:val="0"/>
                <w:numId w:val="12"/>
              </w:numPr>
              <w:spacing w:after="180"/>
              <w:rPr>
                <w:rFonts w:eastAsia="MS Mincho"/>
                <w:sz w:val="20"/>
                <w:szCs w:val="20"/>
                <w:lang w:val="en-GB"/>
              </w:rPr>
            </w:pPr>
            <w:r w:rsidRPr="00FF5AB3">
              <w:rPr>
                <w:rFonts w:eastAsia="MS Mincho"/>
                <w:sz w:val="20"/>
                <w:szCs w:val="20"/>
                <w:lang w:val="en-GB"/>
              </w:rPr>
              <w:t>It is up to UE implementation to handle NR Tx and LTE Rx overlap.</w:t>
            </w:r>
          </w:p>
          <w:p w14:paraId="33A876C7" w14:textId="77777777" w:rsidR="00FF5AB3" w:rsidRPr="00722791" w:rsidRDefault="00FF5AB3" w:rsidP="00FF5AB3">
            <w:pPr>
              <w:rPr>
                <w:highlight w:val="green"/>
                <w:lang w:eastAsia="x-none"/>
              </w:rPr>
            </w:pPr>
            <w:r w:rsidRPr="00722791">
              <w:rPr>
                <w:highlight w:val="green"/>
                <w:lang w:eastAsia="x-none"/>
              </w:rPr>
              <w:t>Agreements:</w:t>
            </w:r>
          </w:p>
          <w:p w14:paraId="60E17AD8" w14:textId="77777777" w:rsidR="00FF5AB3" w:rsidRPr="00E75532" w:rsidRDefault="00FF5AB3" w:rsidP="00FF5AB3">
            <w:pPr>
              <w:numPr>
                <w:ilvl w:val="0"/>
                <w:numId w:val="13"/>
              </w:numPr>
              <w:spacing w:after="0"/>
            </w:pPr>
            <w:r w:rsidRPr="00E75532">
              <w:t xml:space="preserve">RAN1 understand that NR V2X priority field and PPPP are directly comparable i.e. the same numerical value has the same meaning in both the RATs. </w:t>
            </w:r>
          </w:p>
          <w:p w14:paraId="4532A668" w14:textId="77777777" w:rsidR="00FF5AB3" w:rsidRPr="00E75532" w:rsidRDefault="00FF5AB3" w:rsidP="00FF5AB3">
            <w:pPr>
              <w:numPr>
                <w:ilvl w:val="1"/>
                <w:numId w:val="13"/>
              </w:numPr>
              <w:spacing w:after="0"/>
            </w:pPr>
            <w:r w:rsidRPr="00E75532">
              <w:t xml:space="preserve">Ask SA2 to confirm the understanding. If understanding is incorrect, please provide solution. </w:t>
            </w:r>
          </w:p>
          <w:p w14:paraId="54333ECB" w14:textId="77777777" w:rsidR="00FF5AB3" w:rsidRDefault="00FF5AB3" w:rsidP="00F53ABF"/>
        </w:tc>
      </w:tr>
    </w:tbl>
    <w:p w14:paraId="7D54D0C3" w14:textId="77777777" w:rsidR="00FF5AB3" w:rsidRPr="00161DB7" w:rsidRDefault="00FF5AB3" w:rsidP="00F53ABF"/>
    <w:p w14:paraId="590C4607" w14:textId="6FD66AF1" w:rsidR="00161DB7" w:rsidRPr="000D3B2C" w:rsidRDefault="00161DB7" w:rsidP="00161DB7">
      <w:pPr>
        <w:spacing w:after="120"/>
        <w:rPr>
          <w:rFonts w:eastAsia="SimSun"/>
          <w:lang w:eastAsia="zh-CN"/>
        </w:rPr>
      </w:pPr>
      <w:r w:rsidRPr="000D3B2C">
        <w:t xml:space="preserve">Since RAN1 </w:t>
      </w:r>
      <w:r>
        <w:t>has concluded that long term TDM coexistence has no specification impact</w:t>
      </w:r>
      <w:r w:rsidRPr="000D3B2C">
        <w:t>, we focus our discussion in this paper to short term (i.e. TTI level) solution.</w:t>
      </w:r>
    </w:p>
    <w:p w14:paraId="46E77234" w14:textId="77777777" w:rsidR="00161DB7" w:rsidRDefault="00161DB7" w:rsidP="00161DB7">
      <w:pPr>
        <w:pStyle w:val="Heading1"/>
        <w:overflowPunct w:val="0"/>
        <w:autoSpaceDE w:val="0"/>
        <w:autoSpaceDN w:val="0"/>
        <w:adjustRightInd w:val="0"/>
        <w:textAlignment w:val="baseline"/>
      </w:pPr>
      <w:r>
        <w:t xml:space="preserve">Short Term TDM </w:t>
      </w:r>
      <w:bookmarkStart w:id="2" w:name="_Hlk525802761"/>
      <w:r>
        <w:t>of LTE V2X and NR V2X</w:t>
      </w:r>
    </w:p>
    <w:p w14:paraId="11B905BB" w14:textId="77777777" w:rsidR="00161DB7" w:rsidRDefault="00161DB7" w:rsidP="00161DB7">
      <w:pPr>
        <w:pStyle w:val="Heading2"/>
      </w:pPr>
      <w:r>
        <w:t>UE with Base Station Scheduling.</w:t>
      </w:r>
    </w:p>
    <w:p w14:paraId="021D998D" w14:textId="77777777" w:rsidR="00161DB7" w:rsidRDefault="00161DB7" w:rsidP="00161DB7">
      <w:r>
        <w:t>We consider here, in particular 2 sub cases:</w:t>
      </w:r>
    </w:p>
    <w:p w14:paraId="449855B1" w14:textId="77777777" w:rsidR="00161DB7" w:rsidRDefault="00161DB7" w:rsidP="00161DB7">
      <w:pPr>
        <w:numPr>
          <w:ilvl w:val="0"/>
          <w:numId w:val="7"/>
        </w:numPr>
      </w:pPr>
      <w:r>
        <w:t>LTE V2X resources are scheduled by eNB, NR V2X autonomously select resources</w:t>
      </w:r>
    </w:p>
    <w:p w14:paraId="231C4C3C" w14:textId="77777777" w:rsidR="00161DB7" w:rsidRDefault="00161DB7" w:rsidP="00161DB7">
      <w:pPr>
        <w:numPr>
          <w:ilvl w:val="0"/>
          <w:numId w:val="7"/>
        </w:numPr>
      </w:pPr>
      <w:r>
        <w:t>NR V2X resources are scheduled by gNB, LTE V2X autonomously select resources.</w:t>
      </w:r>
    </w:p>
    <w:p w14:paraId="0FA5579E" w14:textId="77777777" w:rsidR="00161DB7" w:rsidRPr="003167E5" w:rsidRDefault="00161DB7" w:rsidP="00161DB7">
      <w:pPr>
        <w:numPr>
          <w:ilvl w:val="0"/>
          <w:numId w:val="7"/>
        </w:numPr>
      </w:pPr>
      <w:r>
        <w:t>The sub case of LTE V2X resources are scheduled by eNB and NR V2X resources are scheduled by gNB is not considered, since it is not in the scope of the study item.</w:t>
      </w:r>
    </w:p>
    <w:p w14:paraId="551EF641" w14:textId="77777777" w:rsidR="00161DB7" w:rsidRDefault="00161DB7" w:rsidP="00161DB7">
      <w:pPr>
        <w:rPr>
          <w:sz w:val="22"/>
          <w:szCs w:val="22"/>
        </w:rPr>
      </w:pPr>
      <w:r w:rsidRPr="005E5E08">
        <w:rPr>
          <w:sz w:val="22"/>
          <w:szCs w:val="22"/>
        </w:rPr>
        <w:lastRenderedPageBreak/>
        <w:t>Most of</w:t>
      </w:r>
      <w:r>
        <w:rPr>
          <w:sz w:val="22"/>
          <w:szCs w:val="22"/>
        </w:rPr>
        <w:t xml:space="preserve"> the discussion in 2.1 still applies here, i.e. TDM type of solution is the preferred solution, where 1) the UE try to utilise all available information about the other RAT resources and priority to minimize the amount of Tx/Tx collision; 2) when collision does happen it is up to the UE to resolve the collision within the missed reservation allowances provisioned by application layer and 3) the UE is also to manage its transmission time in order to cause interruption to the other RAT reception within the allowances provisioned by application layer. </w:t>
      </w:r>
    </w:p>
    <w:p w14:paraId="1FD9FBC0" w14:textId="77777777" w:rsidR="00161DB7" w:rsidRDefault="00161DB7" w:rsidP="00161DB7">
      <w:pPr>
        <w:rPr>
          <w:sz w:val="22"/>
          <w:szCs w:val="22"/>
        </w:rPr>
      </w:pPr>
      <w:r>
        <w:rPr>
          <w:sz w:val="22"/>
          <w:szCs w:val="22"/>
        </w:rPr>
        <w:t>There are, however, some minor adaptations involved, which will be laid out below:</w:t>
      </w:r>
    </w:p>
    <w:p w14:paraId="089BA9F4" w14:textId="77777777" w:rsidR="00161DB7" w:rsidRDefault="00161DB7" w:rsidP="00161DB7">
      <w:pPr>
        <w:numPr>
          <w:ilvl w:val="0"/>
          <w:numId w:val="8"/>
        </w:numPr>
      </w:pPr>
      <w:r>
        <w:rPr>
          <w:sz w:val="22"/>
          <w:szCs w:val="22"/>
        </w:rPr>
        <w:t xml:space="preserve"> </w:t>
      </w:r>
      <w:r>
        <w:t xml:space="preserve">LTE V2X resources are scheduled by eNB, NR V2X autonomously select resources. For the case that LTE V2X using information about NR resource and priority to resolve Tx/Tx collision. Since UE does not select resource by itself, it has to forward all this information to the eNB and wait for the new direction. However, this requires new signalling defined for LTE spec. The alternative is not to request a new grant or forwarding any information. The UE can decide on its own which transmission to transmit based on priority resolution rule configured by upper layer. If some certain LTE transmissions need to be dropped according to this rule, current LTE spec have enough provision for UE to do this. </w:t>
      </w:r>
    </w:p>
    <w:p w14:paraId="56D3A7C4" w14:textId="77777777" w:rsidR="00161DB7" w:rsidRDefault="00161DB7" w:rsidP="00161DB7">
      <w:pPr>
        <w:numPr>
          <w:ilvl w:val="0"/>
          <w:numId w:val="8"/>
        </w:numPr>
      </w:pPr>
      <w:r>
        <w:t xml:space="preserve">NR V2X resources are scheduled by gNB, LTE V2X autonomously select resources. In cases where new resources are needed in order to avoid an upcoming LTE transmission, UE can forward information about LTE upcoming transmission to gNB and gNB will decide if a new resource is needed/or UE should keep transmitting on the scheduled resources/or it should drop the transmission. Otherwise, UE can make the decision whether to avoid LTE transmission itself based on upper layer configured priority resolution rule, and then request a new grant. In our view, the later solution will lead to a cleaner spec and hence is preferred.  </w:t>
      </w:r>
    </w:p>
    <w:p w14:paraId="10D7F7E7" w14:textId="5A576435" w:rsidR="00161DB7" w:rsidRDefault="00161DB7" w:rsidP="00161DB7">
      <w:pPr>
        <w:rPr>
          <w:b/>
        </w:rPr>
      </w:pPr>
      <w:r w:rsidRPr="00183CE6">
        <w:rPr>
          <w:b/>
        </w:rPr>
        <w:t xml:space="preserve">Proposal </w:t>
      </w:r>
      <w:r w:rsidR="00FF5AB3">
        <w:rPr>
          <w:b/>
        </w:rPr>
        <w:t>1</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484E0965" w14:textId="1BCC385F" w:rsidR="00161DB7" w:rsidRDefault="00161DB7" w:rsidP="00161DB7">
      <w:pPr>
        <w:rPr>
          <w:b/>
        </w:rPr>
      </w:pPr>
      <w:r>
        <w:rPr>
          <w:b/>
        </w:rPr>
        <w:t xml:space="preserve">Proposal </w:t>
      </w:r>
      <w:r w:rsidR="00FF5AB3">
        <w:rPr>
          <w:b/>
        </w:rPr>
        <w:t>2</w:t>
      </w:r>
      <w:r>
        <w:rPr>
          <w:b/>
        </w:rPr>
        <w:t xml:space="preserve">: For NR V2X in Mode 1 and LTE V2X in Mode 4.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14:paraId="74CB5589" w14:textId="77777777" w:rsidR="00161DB7" w:rsidRDefault="00161DB7" w:rsidP="00161DB7">
      <w:pPr>
        <w:pStyle w:val="Heading2"/>
      </w:pPr>
      <w:r>
        <w:t>Inter-band Scenario</w:t>
      </w:r>
    </w:p>
    <w:p w14:paraId="379D4D8D" w14:textId="77777777" w:rsidR="00161DB7" w:rsidRDefault="00161DB7" w:rsidP="00161DB7">
      <w:r>
        <w:t>Even though all the discussion so far implicitly assumes intra-band different channel scenario. All the proposed solutions do carry over to the inter-band scenario. Compared to intra-band scenario, inter-band has the advantage that there will be now Tx/Rx half duplex issue if the frequency separation is large enough. When the frequency separation is not large enough, the reception interruption sort of solution can be employed to limit transmission time of NR V2X per priority/5QI class.</w:t>
      </w:r>
    </w:p>
    <w:p w14:paraId="3D0A4944" w14:textId="266A248A" w:rsidR="00161DB7" w:rsidRPr="0027270B" w:rsidRDefault="00161DB7" w:rsidP="00F53ABF">
      <w:pPr>
        <w:rPr>
          <w:rFonts w:eastAsia="SimSun"/>
          <w:b/>
          <w:color w:val="000000"/>
          <w:lang w:eastAsia="zh-CN"/>
        </w:rPr>
      </w:pPr>
      <w:r w:rsidRPr="009F7E58">
        <w:rPr>
          <w:b/>
        </w:rPr>
        <w:t>Observation 2:</w:t>
      </w:r>
      <w:r w:rsidRPr="009F7E58">
        <w:t xml:space="preserve"> For inter</w:t>
      </w:r>
      <w:r>
        <w:t>-</w:t>
      </w:r>
      <w:r w:rsidRPr="009F7E58">
        <w:t xml:space="preserve">band scenario, all the solution discuss in Section 2 applies. If there is enough frequency separation, there is no need to handle Tx/Rx case.  </w:t>
      </w:r>
      <w:bookmarkEnd w:id="2"/>
      <w:r w:rsidRPr="0027270B">
        <w:rPr>
          <w:rFonts w:eastAsia="SimSun"/>
          <w:b/>
          <w:color w:val="000000"/>
          <w:lang w:eastAsia="zh-CN"/>
        </w:rPr>
        <w:t xml:space="preserve"> </w:t>
      </w:r>
    </w:p>
    <w:p w14:paraId="4EA99024" w14:textId="77777777" w:rsidR="00161DB7" w:rsidRDefault="00161DB7" w:rsidP="00161DB7">
      <w:pPr>
        <w:pStyle w:val="Heading1"/>
        <w:rPr>
          <w:lang w:eastAsia="zh-CN"/>
        </w:rPr>
      </w:pPr>
      <w:r>
        <w:rPr>
          <w:lang w:eastAsia="zh-CN"/>
        </w:rPr>
        <w:t>Conclusion</w:t>
      </w:r>
    </w:p>
    <w:p w14:paraId="5A0B9822" w14:textId="77777777" w:rsidR="00161DB7" w:rsidRDefault="00161DB7" w:rsidP="00161DB7">
      <w:pPr>
        <w:rPr>
          <w:lang w:eastAsia="zh-CN"/>
        </w:rPr>
      </w:pPr>
      <w:r>
        <w:rPr>
          <w:lang w:eastAsia="zh-CN"/>
        </w:rPr>
        <w:t>The following proposals are made regarding in-device co-existence:</w:t>
      </w:r>
    </w:p>
    <w:p w14:paraId="4EDFFE0E" w14:textId="252E6D73" w:rsidR="00161DB7" w:rsidRDefault="00161DB7" w:rsidP="00161DB7">
      <w:pPr>
        <w:rPr>
          <w:b/>
        </w:rPr>
      </w:pPr>
      <w:r w:rsidRPr="00183CE6">
        <w:rPr>
          <w:b/>
        </w:rPr>
        <w:t xml:space="preserve">Proposal </w:t>
      </w:r>
      <w:r w:rsidR="00B82982">
        <w:rPr>
          <w:b/>
        </w:rPr>
        <w:t>1</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77058139" w14:textId="36A3FA81" w:rsidR="00161DB7" w:rsidRPr="00637D16" w:rsidRDefault="00161DB7" w:rsidP="00161DB7">
      <w:pPr>
        <w:rPr>
          <w:rFonts w:eastAsia="SimSun"/>
          <w:color w:val="000000"/>
          <w:lang w:eastAsia="zh-CN"/>
        </w:rPr>
      </w:pPr>
      <w:r>
        <w:rPr>
          <w:b/>
        </w:rPr>
        <w:t xml:space="preserve">Proposal </w:t>
      </w:r>
      <w:r w:rsidR="00B82982">
        <w:rPr>
          <w:b/>
        </w:rPr>
        <w:t>2</w:t>
      </w:r>
      <w:r>
        <w:rPr>
          <w:b/>
        </w:rPr>
        <w:t xml:space="preserve">: For NR V2X in Mode 1 and LTE V2X in Mode 2.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14:paraId="3A23C49C" w14:textId="645346BE" w:rsidR="008B2948" w:rsidRPr="00B93BAD" w:rsidRDefault="008B2948" w:rsidP="00F53ABF">
      <w:pPr>
        <w:pStyle w:val="Heading1"/>
      </w:pPr>
      <w:bookmarkStart w:id="3" w:name="_Ref189809556"/>
      <w:bookmarkStart w:id="4" w:name="_Ref174151459"/>
      <w:bookmarkStart w:id="5" w:name="_Ref450865335"/>
      <w:r w:rsidRPr="00B93BAD">
        <w:t>Reference</w:t>
      </w:r>
      <w:bookmarkEnd w:id="3"/>
      <w:bookmarkEnd w:id="4"/>
      <w:bookmarkEnd w:id="5"/>
      <w:r w:rsidRPr="00B93BAD">
        <w:t>s</w:t>
      </w:r>
    </w:p>
    <w:p w14:paraId="11A2F61C" w14:textId="1C82A179" w:rsidR="008B2948" w:rsidRDefault="008B2948" w:rsidP="008B2948">
      <w:pPr>
        <w:spacing w:after="60"/>
        <w:ind w:left="1985" w:hanging="1985"/>
        <w:rPr>
          <w:rFonts w:cs="Arial"/>
          <w:lang w:val="en-US"/>
        </w:rPr>
      </w:pPr>
      <w:r>
        <w:t xml:space="preserve"> [1] </w:t>
      </w:r>
      <w:r w:rsidRPr="00CC4EE4">
        <w:t>S2-1904823, LS response</w:t>
      </w:r>
      <w:r>
        <w:rPr>
          <w:rFonts w:cs="Arial"/>
        </w:rPr>
        <w:t xml:space="preserve"> on </w:t>
      </w:r>
      <w:r>
        <w:rPr>
          <w:rFonts w:cs="Arial"/>
          <w:lang w:val="en-US"/>
        </w:rPr>
        <w:t>unicast, groupcast and broadcast in NR sidelink</w:t>
      </w:r>
    </w:p>
    <w:p w14:paraId="5A79550E" w14:textId="51BA49B7" w:rsidR="00875F25" w:rsidRDefault="00875F25" w:rsidP="008B2948">
      <w:pPr>
        <w:spacing w:after="60"/>
        <w:ind w:left="1985" w:hanging="1985"/>
        <w:rPr>
          <w:rFonts w:cs="Arial"/>
          <w:lang w:val="en-US"/>
        </w:rPr>
      </w:pPr>
      <w:r>
        <w:rPr>
          <w:rFonts w:cs="Arial"/>
          <w:lang w:val="en-US"/>
        </w:rPr>
        <w:t>[2] Chairman notes RAN1#97</w:t>
      </w:r>
    </w:p>
    <w:p w14:paraId="1B91EE1F" w14:textId="4CA005CC" w:rsidR="007520C8" w:rsidRDefault="007520C8" w:rsidP="007520C8">
      <w:pPr>
        <w:spacing w:after="60"/>
        <w:ind w:left="1985" w:hanging="1985"/>
        <w:rPr>
          <w:rFonts w:cs="Arial"/>
          <w:lang w:val="en-US"/>
        </w:rPr>
      </w:pPr>
      <w:r>
        <w:rPr>
          <w:rFonts w:cs="Arial"/>
          <w:lang w:val="en-US"/>
        </w:rPr>
        <w:t>[3] Chairman notes RAN1#96Bis</w:t>
      </w:r>
    </w:p>
    <w:p w14:paraId="72C3D83E" w14:textId="4AB149B4" w:rsidR="001838E4" w:rsidRDefault="001838E4" w:rsidP="001838E4">
      <w:pPr>
        <w:spacing w:after="60"/>
        <w:ind w:left="1985" w:hanging="1985"/>
        <w:rPr>
          <w:rFonts w:cs="Arial"/>
          <w:bCs/>
        </w:rPr>
      </w:pPr>
      <w:r>
        <w:rPr>
          <w:rFonts w:cs="Arial"/>
          <w:lang w:val="en-US"/>
        </w:rPr>
        <w:lastRenderedPageBreak/>
        <w:t>[4] Chairman notes RAN1#98</w:t>
      </w:r>
    </w:p>
    <w:p w14:paraId="320B3382" w14:textId="77777777" w:rsidR="001838E4" w:rsidRDefault="001838E4" w:rsidP="007520C8">
      <w:pPr>
        <w:spacing w:after="60"/>
        <w:ind w:left="1985" w:hanging="1985"/>
        <w:rPr>
          <w:rFonts w:cs="Arial"/>
          <w:bCs/>
        </w:rPr>
      </w:pPr>
    </w:p>
    <w:p w14:paraId="72AABFED" w14:textId="77777777" w:rsidR="007520C8" w:rsidRDefault="007520C8" w:rsidP="008B2948">
      <w:pPr>
        <w:spacing w:after="60"/>
        <w:ind w:left="1985" w:hanging="1985"/>
        <w:rPr>
          <w:rFonts w:cs="Arial"/>
          <w:bCs/>
        </w:rPr>
      </w:pPr>
    </w:p>
    <w:p w14:paraId="25AF9000" w14:textId="77777777" w:rsidR="00120B38" w:rsidRDefault="003C56D9"/>
    <w:sectPr w:rsidR="00120B3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4AFE2" w14:textId="77777777" w:rsidR="00971040" w:rsidRDefault="00971040">
      <w:pPr>
        <w:spacing w:after="0"/>
      </w:pPr>
      <w:r>
        <w:separator/>
      </w:r>
    </w:p>
  </w:endnote>
  <w:endnote w:type="continuationSeparator" w:id="0">
    <w:p w14:paraId="67909C3B" w14:textId="77777777" w:rsidR="00971040" w:rsidRDefault="00971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B575B" w14:textId="77777777" w:rsidR="000C274E" w:rsidRDefault="004E47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492FAF9" w14:textId="77777777" w:rsidR="000C274E" w:rsidRDefault="003C56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574A9" w14:textId="77777777" w:rsidR="000C274E" w:rsidRDefault="004E47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93974E6" w14:textId="77777777" w:rsidR="000C274E" w:rsidRDefault="003C56D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769DC" w14:textId="77777777" w:rsidR="00971040" w:rsidRDefault="00971040">
      <w:pPr>
        <w:spacing w:after="0"/>
      </w:pPr>
      <w:r>
        <w:separator/>
      </w:r>
    </w:p>
  </w:footnote>
  <w:footnote w:type="continuationSeparator" w:id="0">
    <w:p w14:paraId="23D48AA8" w14:textId="77777777" w:rsidR="00971040" w:rsidRDefault="009710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D71A66"/>
    <w:multiLevelType w:val="hybridMultilevel"/>
    <w:tmpl w:val="51940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545BE"/>
    <w:multiLevelType w:val="hybridMultilevel"/>
    <w:tmpl w:val="BCB2A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70762"/>
    <w:multiLevelType w:val="hybridMultilevel"/>
    <w:tmpl w:val="E830FB5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5F14637"/>
    <w:multiLevelType w:val="hybridMultilevel"/>
    <w:tmpl w:val="C6AC2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205DA6"/>
    <w:multiLevelType w:val="hybridMultilevel"/>
    <w:tmpl w:val="CA189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7"/>
  </w:num>
  <w:num w:numId="5">
    <w:abstractNumId w:val="2"/>
  </w:num>
  <w:num w:numId="6">
    <w:abstractNumId w:val="10"/>
  </w:num>
  <w:num w:numId="7">
    <w:abstractNumId w:val="12"/>
  </w:num>
  <w:num w:numId="8">
    <w:abstractNumId w:val="1"/>
  </w:num>
  <w:num w:numId="9">
    <w:abstractNumId w:val="4"/>
  </w:num>
  <w:num w:numId="10">
    <w:abstractNumId w:val="11"/>
  </w:num>
  <w:num w:numId="11">
    <w:abstractNumId w:val="0"/>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DB7"/>
    <w:rsid w:val="00022841"/>
    <w:rsid w:val="00161DB7"/>
    <w:rsid w:val="001838E4"/>
    <w:rsid w:val="002627F4"/>
    <w:rsid w:val="002B298B"/>
    <w:rsid w:val="002F1FDB"/>
    <w:rsid w:val="00386A2F"/>
    <w:rsid w:val="003C56D9"/>
    <w:rsid w:val="003D199B"/>
    <w:rsid w:val="004E47CA"/>
    <w:rsid w:val="005218B4"/>
    <w:rsid w:val="00625587"/>
    <w:rsid w:val="00696D34"/>
    <w:rsid w:val="00711B6D"/>
    <w:rsid w:val="007520C8"/>
    <w:rsid w:val="00875F25"/>
    <w:rsid w:val="00892301"/>
    <w:rsid w:val="008B2948"/>
    <w:rsid w:val="00971040"/>
    <w:rsid w:val="009A4763"/>
    <w:rsid w:val="00A9402A"/>
    <w:rsid w:val="00AE0431"/>
    <w:rsid w:val="00B82982"/>
    <w:rsid w:val="00BE0FDB"/>
    <w:rsid w:val="00CD21AC"/>
    <w:rsid w:val="00ED4C9B"/>
    <w:rsid w:val="00F53ABF"/>
    <w:rsid w:val="00F859CB"/>
    <w:rsid w:val="00FD786D"/>
    <w:rsid w:val="00FF5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45EAE"/>
  <w15:chartTrackingRefBased/>
  <w15:docId w15:val="{2B3D2828-6FA0-4733-AB6F-EE02BC7B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61DB7"/>
    <w:pPr>
      <w:spacing w:after="180" w:line="240" w:lineRule="auto"/>
    </w:pPr>
    <w:rPr>
      <w:rFonts w:ascii="Times New Roman" w:eastAsia="MS Mincho"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61D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UNDERRUBRIK 1-2,DO NOT USE_h2,h2,h21,H2 Char,h2 Char"/>
    <w:basedOn w:val="Heading1"/>
    <w:next w:val="Normal"/>
    <w:link w:val="Heading2Char"/>
    <w:qFormat/>
    <w:rsid w:val="00161D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61D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161DB7"/>
    <w:pPr>
      <w:numPr>
        <w:ilvl w:val="3"/>
      </w:numPr>
      <w:outlineLvl w:val="3"/>
    </w:pPr>
    <w:rPr>
      <w:sz w:val="24"/>
    </w:rPr>
  </w:style>
  <w:style w:type="paragraph" w:styleId="Heading5">
    <w:name w:val="heading 5"/>
    <w:aliases w:val="h5,Heading5"/>
    <w:basedOn w:val="Heading4"/>
    <w:next w:val="Normal"/>
    <w:link w:val="Heading5Char"/>
    <w:qFormat/>
    <w:rsid w:val="00161DB7"/>
    <w:pPr>
      <w:numPr>
        <w:ilvl w:val="5"/>
      </w:numPr>
      <w:outlineLvl w:val="4"/>
    </w:pPr>
    <w:rPr>
      <w:sz w:val="22"/>
    </w:rPr>
  </w:style>
  <w:style w:type="paragraph" w:styleId="Heading6">
    <w:name w:val="heading 6"/>
    <w:basedOn w:val="Normal"/>
    <w:next w:val="Normal"/>
    <w:link w:val="Heading6Char"/>
    <w:qFormat/>
    <w:rsid w:val="008B294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lang w:eastAsia="zh-CN"/>
    </w:rPr>
  </w:style>
  <w:style w:type="paragraph" w:styleId="Heading7">
    <w:name w:val="heading 7"/>
    <w:basedOn w:val="Normal"/>
    <w:next w:val="Normal"/>
    <w:link w:val="Heading7Char"/>
    <w:qFormat/>
    <w:rsid w:val="00161DB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61DB7"/>
    <w:pPr>
      <w:numPr>
        <w:ilvl w:val="7"/>
      </w:numPr>
      <w:outlineLvl w:val="7"/>
    </w:pPr>
  </w:style>
  <w:style w:type="paragraph" w:styleId="Heading9">
    <w:name w:val="heading 9"/>
    <w:basedOn w:val="Heading8"/>
    <w:next w:val="Normal"/>
    <w:link w:val="Heading9Char"/>
    <w:qFormat/>
    <w:rsid w:val="00161D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DB7"/>
    <w:rPr>
      <w:rFonts w:ascii="Arial" w:eastAsia="MS Mincho" w:hAnsi="Arial" w:cs="Times New Roman"/>
      <w:sz w:val="36"/>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161DB7"/>
    <w:rPr>
      <w:rFonts w:ascii="Arial" w:eastAsia="MS Mincho"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DB7"/>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DB7"/>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161DB7"/>
    <w:rPr>
      <w:rFonts w:ascii="Arial" w:eastAsia="MS Mincho" w:hAnsi="Arial" w:cs="Times New Roman"/>
      <w:szCs w:val="20"/>
      <w:lang w:val="en-GB"/>
    </w:rPr>
  </w:style>
  <w:style w:type="character" w:customStyle="1" w:styleId="Heading7Char">
    <w:name w:val="Heading 7 Char"/>
    <w:basedOn w:val="DefaultParagraphFont"/>
    <w:link w:val="Heading7"/>
    <w:rsid w:val="00161DB7"/>
    <w:rPr>
      <w:rFonts w:ascii="Arial" w:eastAsia="MS Mincho" w:hAnsi="Arial" w:cs="Times New Roman"/>
      <w:sz w:val="20"/>
      <w:szCs w:val="20"/>
      <w:lang w:val="en-GB"/>
    </w:rPr>
  </w:style>
  <w:style w:type="character" w:customStyle="1" w:styleId="Heading8Char">
    <w:name w:val="Heading 8 Char"/>
    <w:basedOn w:val="DefaultParagraphFont"/>
    <w:link w:val="Heading8"/>
    <w:rsid w:val="00161DB7"/>
    <w:rPr>
      <w:rFonts w:ascii="Arial" w:eastAsia="MS Mincho" w:hAnsi="Arial" w:cs="Times New Roman"/>
      <w:sz w:val="36"/>
      <w:szCs w:val="20"/>
      <w:lang w:val="en-GB"/>
    </w:rPr>
  </w:style>
  <w:style w:type="character" w:customStyle="1" w:styleId="Heading9Char">
    <w:name w:val="Heading 9 Char"/>
    <w:basedOn w:val="DefaultParagraphFont"/>
    <w:link w:val="Heading9"/>
    <w:rsid w:val="00161DB7"/>
    <w:rPr>
      <w:rFonts w:ascii="Arial" w:eastAsia="MS Mincho" w:hAnsi="Arial" w:cs="Times New Roman"/>
      <w:sz w:val="36"/>
      <w:szCs w:val="20"/>
      <w:lang w:val="en-GB"/>
    </w:rPr>
  </w:style>
  <w:style w:type="paragraph" w:styleId="Footer">
    <w:name w:val="footer"/>
    <w:basedOn w:val="Header"/>
    <w:link w:val="FooterChar"/>
    <w:rsid w:val="00161DB7"/>
    <w:pPr>
      <w:widowControl w:val="0"/>
      <w:tabs>
        <w:tab w:val="clear" w:pos="4680"/>
        <w:tab w:val="clear" w:pos="9360"/>
      </w:tabs>
      <w:jc w:val="center"/>
    </w:pPr>
    <w:rPr>
      <w:rFonts w:ascii="Arial" w:hAnsi="Arial"/>
      <w:b/>
      <w:i/>
      <w:noProof/>
      <w:sz w:val="18"/>
      <w:lang w:val="en-US" w:eastAsia="zh-CN"/>
    </w:rPr>
  </w:style>
  <w:style w:type="character" w:customStyle="1" w:styleId="FooterChar">
    <w:name w:val="Footer Char"/>
    <w:basedOn w:val="DefaultParagraphFont"/>
    <w:link w:val="Footer"/>
    <w:rsid w:val="00161DB7"/>
    <w:rPr>
      <w:rFonts w:ascii="Arial" w:eastAsia="MS Mincho" w:hAnsi="Arial" w:cs="Times New Roman"/>
      <w:b/>
      <w:i/>
      <w:noProof/>
      <w:sz w:val="18"/>
      <w:szCs w:val="20"/>
      <w:lang w:eastAsia="zh-CN"/>
    </w:rPr>
  </w:style>
  <w:style w:type="character" w:styleId="PageNumber">
    <w:name w:val="page number"/>
    <w:basedOn w:val="DefaultParagraphFont"/>
    <w:rsid w:val="00161DB7"/>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61DB7"/>
    <w:pPr>
      <w:spacing w:after="0"/>
      <w:ind w:left="720"/>
      <w:contextualSpacing/>
    </w:pPr>
    <w:rPr>
      <w:rFonts w:eastAsia="Times New Roman"/>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61DB7"/>
    <w:rPr>
      <w:rFonts w:ascii="Times New Roman" w:eastAsia="Times New Roman" w:hAnsi="Times New Roman" w:cs="Times New Roman"/>
      <w:sz w:val="24"/>
      <w:szCs w:val="24"/>
    </w:rPr>
  </w:style>
  <w:style w:type="paragraph" w:styleId="Title">
    <w:name w:val="Title"/>
    <w:basedOn w:val="Normal"/>
    <w:link w:val="TitleChar"/>
    <w:qFormat/>
    <w:rsid w:val="00161DB7"/>
    <w:pPr>
      <w:overflowPunct w:val="0"/>
      <w:autoSpaceDE w:val="0"/>
      <w:autoSpaceDN w:val="0"/>
      <w:adjustRightInd w:val="0"/>
      <w:spacing w:after="120"/>
      <w:jc w:val="center"/>
    </w:pPr>
    <w:rPr>
      <w:rFonts w:ascii="Arial" w:hAnsi="Arial"/>
      <w:b/>
      <w:sz w:val="24"/>
      <w:lang w:val="de-DE"/>
    </w:rPr>
  </w:style>
  <w:style w:type="character" w:customStyle="1" w:styleId="TitleChar">
    <w:name w:val="Title Char"/>
    <w:basedOn w:val="DefaultParagraphFont"/>
    <w:link w:val="Title"/>
    <w:rsid w:val="00161DB7"/>
    <w:rPr>
      <w:rFonts w:ascii="Arial" w:eastAsia="MS Mincho" w:hAnsi="Arial" w:cs="Times New Roman"/>
      <w:b/>
      <w:sz w:val="24"/>
      <w:szCs w:val="20"/>
      <w:lang w:val="de-DE"/>
    </w:rPr>
  </w:style>
  <w:style w:type="paragraph" w:styleId="Header">
    <w:name w:val="header"/>
    <w:basedOn w:val="Normal"/>
    <w:link w:val="HeaderChar"/>
    <w:uiPriority w:val="99"/>
    <w:semiHidden/>
    <w:unhideWhenUsed/>
    <w:rsid w:val="00161DB7"/>
    <w:pPr>
      <w:tabs>
        <w:tab w:val="center" w:pos="4680"/>
        <w:tab w:val="right" w:pos="9360"/>
      </w:tabs>
      <w:spacing w:after="0"/>
    </w:pPr>
  </w:style>
  <w:style w:type="character" w:customStyle="1" w:styleId="HeaderChar">
    <w:name w:val="Header Char"/>
    <w:basedOn w:val="DefaultParagraphFont"/>
    <w:link w:val="Header"/>
    <w:uiPriority w:val="99"/>
    <w:semiHidden/>
    <w:rsid w:val="00161DB7"/>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161D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DB7"/>
    <w:rPr>
      <w:rFonts w:ascii="Segoe UI" w:eastAsia="MS Mincho" w:hAnsi="Segoe UI" w:cs="Segoe UI"/>
      <w:sz w:val="18"/>
      <w:szCs w:val="18"/>
      <w:lang w:val="en-GB"/>
    </w:rPr>
  </w:style>
  <w:style w:type="character" w:customStyle="1" w:styleId="NOZchn">
    <w:name w:val="NO Zchn"/>
    <w:basedOn w:val="DefaultParagraphFont"/>
    <w:link w:val="NO"/>
    <w:locked/>
    <w:rsid w:val="005218B4"/>
    <w:rPr>
      <w:lang w:eastAsia="x-none"/>
    </w:rPr>
  </w:style>
  <w:style w:type="paragraph" w:customStyle="1" w:styleId="NO">
    <w:name w:val="NO"/>
    <w:basedOn w:val="Normal"/>
    <w:link w:val="NOZchn"/>
    <w:rsid w:val="005218B4"/>
    <w:pPr>
      <w:ind w:left="1135" w:hanging="851"/>
    </w:pPr>
    <w:rPr>
      <w:rFonts w:asciiTheme="minorHAnsi" w:eastAsiaTheme="minorHAnsi" w:hAnsiTheme="minorHAnsi" w:cstheme="minorBidi"/>
      <w:sz w:val="22"/>
      <w:szCs w:val="22"/>
      <w:lang w:val="en-US" w:eastAsia="x-none"/>
    </w:rPr>
  </w:style>
  <w:style w:type="character" w:customStyle="1" w:styleId="Heading6Char">
    <w:name w:val="Heading 6 Char"/>
    <w:basedOn w:val="DefaultParagraphFont"/>
    <w:link w:val="Heading6"/>
    <w:rsid w:val="008B2948"/>
    <w:rPr>
      <w:rFonts w:ascii="Arial" w:eastAsia="SimSun" w:hAnsi="Arial" w:cs="Arial"/>
      <w:sz w:val="20"/>
      <w:szCs w:val="20"/>
      <w:lang w:val="en-GB" w:eastAsia="zh-CN"/>
    </w:rPr>
  </w:style>
  <w:style w:type="table" w:styleId="TableGrid">
    <w:name w:val="Table Grid"/>
    <w:basedOn w:val="TableNormal"/>
    <w:uiPriority w:val="39"/>
    <w:rsid w:val="00F5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40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SRVZ567275SS-924214940-325</_dlc_DocId>
    <_dlc_DocIdUrl xmlns="932dab1a-f806-440a-b546-5f112cb4e652">
      <Url>https://projects.qualcomm.com/sites/libra/_layouts/15/DocIdRedir.aspx?ID=SRVZ567275SS-924214940-325</Url>
      <Description>SRVZ567275SS-924214940-325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6A61EC-50B4-41BD-80A4-80AB1627E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9D163-B339-40D1-80B8-80AA6D0DF537}">
  <ds:schemaRefs>
    <ds:schemaRef ds:uri="http://purl.org/dc/terms/"/>
    <ds:schemaRef ds:uri="932dab1a-f806-440a-b546-5f112cb4e652"/>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512C63F-6467-409E-9F19-EAC0F18CABD9}">
  <ds:schemaRefs>
    <ds:schemaRef ds:uri="http://schemas.microsoft.com/sharepoint/v3/contenttype/forms"/>
  </ds:schemaRefs>
</ds:datastoreItem>
</file>

<file path=customXml/itemProps4.xml><?xml version="1.0" encoding="utf-8"?>
<ds:datastoreItem xmlns:ds="http://schemas.openxmlformats.org/officeDocument/2006/customXml" ds:itemID="{69C02419-AD2B-49BD-AC7A-8EDD148D8BA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Co-existence aspects for NR-V2X and LTE-V2X</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Co-existence aspects for NR-V2X and LTE-V2X</dc:title>
  <dc:subject/>
  <dc:creator>Viet Nguyen</dc:creator>
  <cp:keywords/>
  <dc:description/>
  <cp:lastModifiedBy>Qualcomm</cp:lastModifiedBy>
  <cp:revision>10</cp:revision>
  <dcterms:created xsi:type="dcterms:W3CDTF">2019-10-02T15:16:00Z</dcterms:created>
  <dcterms:modified xsi:type="dcterms:W3CDTF">2019-10-08T01:14:00Z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9c50f55f-ee67-4f95-b34b-991af28c4a6b</vt:lpwstr>
  </property>
</Properties>
</file>